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6AA5AA" w14:textId="716221AE" w:rsidR="009F5B40" w:rsidRPr="00E960BB" w:rsidRDefault="009F5B40" w:rsidP="009F5B4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522C22E0" w14:textId="0308BA7D" w:rsidR="00F96105" w:rsidRPr="009C54AE" w:rsidRDefault="00F96105" w:rsidP="00BC1AFF">
      <w:pPr>
        <w:spacing w:after="0" w:line="240" w:lineRule="auto"/>
        <w:jc w:val="center"/>
        <w:rPr>
          <w:rFonts w:ascii="Corbel" w:hAnsi="Corbel" w:cs="Corbel"/>
          <w:b/>
          <w:bCs/>
          <w:smallCaps/>
        </w:rPr>
      </w:pPr>
      <w:r w:rsidRPr="009C54AE">
        <w:rPr>
          <w:rFonts w:ascii="Corbel" w:hAnsi="Corbel" w:cs="Corbel"/>
          <w:b/>
          <w:bCs/>
          <w:smallCaps/>
        </w:rPr>
        <w:t>SYLABUS</w:t>
      </w:r>
    </w:p>
    <w:p w14:paraId="0242C31F" w14:textId="417EE7E6" w:rsidR="00F96105" w:rsidRPr="000D3AB4" w:rsidRDefault="00F96105" w:rsidP="00BC1AFF">
      <w:pPr>
        <w:spacing w:after="0" w:line="240" w:lineRule="exact"/>
        <w:jc w:val="center"/>
        <w:rPr>
          <w:rFonts w:ascii="Corbel" w:hAnsi="Corbel" w:cs="Corbel"/>
          <w:i/>
          <w:iCs/>
          <w:smallCaps/>
        </w:rPr>
      </w:pPr>
      <w:r w:rsidRPr="009C54AE">
        <w:rPr>
          <w:rFonts w:ascii="Corbel" w:hAnsi="Corbel" w:cs="Corbel"/>
          <w:b/>
          <w:bCs/>
          <w:smallCaps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</w:rPr>
        <w:t xml:space="preserve"> </w:t>
      </w:r>
      <w:r w:rsidR="008F1E3B">
        <w:rPr>
          <w:rFonts w:ascii="Corbel" w:hAnsi="Corbel"/>
          <w:b/>
          <w:smallCaps/>
        </w:rPr>
        <w:t>2022-2025</w:t>
      </w:r>
    </w:p>
    <w:p w14:paraId="0F306B20" w14:textId="1573BA13" w:rsidR="00F96105" w:rsidRPr="00EA4832" w:rsidRDefault="00F96105" w:rsidP="009F5B40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>Rok akademicki   202</w:t>
      </w:r>
      <w:r w:rsidR="008F1E3B">
        <w:rPr>
          <w:rFonts w:ascii="Corbel" w:hAnsi="Corbel" w:cs="Corbel"/>
          <w:sz w:val="20"/>
          <w:szCs w:val="20"/>
        </w:rPr>
        <w:t>3</w:t>
      </w:r>
      <w:r w:rsidR="009F5B40">
        <w:rPr>
          <w:rFonts w:ascii="Corbel" w:hAnsi="Corbel" w:cs="Corbel"/>
          <w:sz w:val="20"/>
          <w:szCs w:val="20"/>
        </w:rPr>
        <w:t>/</w:t>
      </w:r>
      <w:r>
        <w:rPr>
          <w:rFonts w:ascii="Corbel" w:hAnsi="Corbel" w:cs="Corbel"/>
          <w:sz w:val="20"/>
          <w:szCs w:val="20"/>
        </w:rPr>
        <w:t>202</w:t>
      </w:r>
      <w:r w:rsidR="008F1E3B">
        <w:rPr>
          <w:rFonts w:ascii="Corbel" w:hAnsi="Corbel" w:cs="Corbel"/>
          <w:sz w:val="20"/>
          <w:szCs w:val="20"/>
        </w:rPr>
        <w:t>4</w:t>
      </w:r>
      <w:bookmarkStart w:id="0" w:name="_GoBack"/>
      <w:bookmarkEnd w:id="0"/>
    </w:p>
    <w:p w14:paraId="4F8A5F00" w14:textId="77777777" w:rsidR="00F96105" w:rsidRPr="009C54AE" w:rsidRDefault="00F96105" w:rsidP="00BC1AFF">
      <w:pPr>
        <w:spacing w:after="0" w:line="240" w:lineRule="auto"/>
        <w:rPr>
          <w:rFonts w:ascii="Corbel" w:hAnsi="Corbel" w:cs="Corbel"/>
        </w:rPr>
      </w:pPr>
    </w:p>
    <w:p w14:paraId="0A6B5B92" w14:textId="77777777" w:rsidR="00F96105" w:rsidRPr="000D3AB4" w:rsidRDefault="00F96105" w:rsidP="00BC1AF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F96105" w:rsidRPr="009C54AE" w14:paraId="4BF1B05A" w14:textId="77777777" w:rsidTr="001D07B4">
        <w:tc>
          <w:tcPr>
            <w:tcW w:w="2694" w:type="dxa"/>
            <w:vAlign w:val="center"/>
          </w:tcPr>
          <w:p w14:paraId="53A497FA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67248A" w14:textId="77777777" w:rsidR="00F96105" w:rsidRPr="00C81A1F" w:rsidRDefault="00F96105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C81A1F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Ryzyko operacyjne w banku</w:t>
            </w:r>
          </w:p>
        </w:tc>
      </w:tr>
      <w:tr w:rsidR="00F96105" w:rsidRPr="009C54AE" w14:paraId="3D567082" w14:textId="77777777" w:rsidTr="001D07B4">
        <w:tc>
          <w:tcPr>
            <w:tcW w:w="2694" w:type="dxa"/>
            <w:vAlign w:val="center"/>
          </w:tcPr>
          <w:p w14:paraId="12074E08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D493A82" w14:textId="77777777" w:rsidR="00F96105" w:rsidRPr="00BC1AFF" w:rsidRDefault="00F96105" w:rsidP="001D07B4">
            <w:pPr>
              <w:spacing w:after="0" w:line="240" w:lineRule="auto"/>
              <w:rPr>
                <w:rFonts w:ascii="Corbel" w:hAnsi="Corbel" w:cs="Corbel"/>
                <w:color w:val="000000"/>
              </w:rPr>
            </w:pPr>
            <w:proofErr w:type="spellStart"/>
            <w:r w:rsidRPr="00BC1AFF">
              <w:rPr>
                <w:rFonts w:ascii="Corbel" w:hAnsi="Corbel" w:cs="Corbel"/>
              </w:rPr>
              <w:t>FiR</w:t>
            </w:r>
            <w:proofErr w:type="spellEnd"/>
            <w:r w:rsidRPr="00BC1AFF">
              <w:rPr>
                <w:rFonts w:ascii="Corbel" w:hAnsi="Corbel" w:cs="Corbel"/>
              </w:rPr>
              <w:t>/I/</w:t>
            </w:r>
            <w:proofErr w:type="spellStart"/>
            <w:r w:rsidRPr="00BC1AFF">
              <w:rPr>
                <w:rFonts w:ascii="Corbel" w:hAnsi="Corbel" w:cs="Corbel"/>
              </w:rPr>
              <w:t>FiB</w:t>
            </w:r>
            <w:proofErr w:type="spellEnd"/>
            <w:r w:rsidRPr="00BC1AFF">
              <w:rPr>
                <w:rFonts w:ascii="Corbel" w:hAnsi="Corbel" w:cs="Corbel"/>
              </w:rPr>
              <w:t>/C-1.4b</w:t>
            </w:r>
          </w:p>
        </w:tc>
      </w:tr>
      <w:tr w:rsidR="00F96105" w:rsidRPr="009C54AE" w14:paraId="67F5007B" w14:textId="77777777" w:rsidTr="001D07B4">
        <w:tc>
          <w:tcPr>
            <w:tcW w:w="2694" w:type="dxa"/>
            <w:vAlign w:val="center"/>
          </w:tcPr>
          <w:p w14:paraId="3826F88E" w14:textId="77777777" w:rsidR="00F96105" w:rsidRPr="00BC1AFF" w:rsidRDefault="00F96105" w:rsidP="001D07B4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A1A2472" w14:textId="77777777" w:rsidR="00F96105" w:rsidRPr="00BC1AFF" w:rsidRDefault="00F96105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1AF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F96105" w:rsidRPr="009C54AE" w14:paraId="090C7C5F" w14:textId="77777777" w:rsidTr="001D07B4">
        <w:tc>
          <w:tcPr>
            <w:tcW w:w="2694" w:type="dxa"/>
            <w:vAlign w:val="center"/>
          </w:tcPr>
          <w:p w14:paraId="3D204B12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AECC9F5" w14:textId="77777777" w:rsidR="00F96105" w:rsidRPr="00BC1AFF" w:rsidRDefault="00C81A1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3F6394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F96105" w:rsidRPr="009C54AE" w14:paraId="182A63E2" w14:textId="77777777" w:rsidTr="001D07B4">
        <w:tc>
          <w:tcPr>
            <w:tcW w:w="2694" w:type="dxa"/>
            <w:vAlign w:val="center"/>
          </w:tcPr>
          <w:p w14:paraId="3F0BFD1D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9FA08A4" w14:textId="77777777" w:rsidR="00F96105" w:rsidRPr="00BC1AFF" w:rsidRDefault="00F96105" w:rsidP="00C81A1F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1AFF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 xml:space="preserve">Finanse i </w:t>
            </w:r>
            <w:r w:rsidR="00C81A1F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R</w:t>
            </w:r>
            <w:r w:rsidRPr="00BC1AFF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achunkowość</w:t>
            </w:r>
          </w:p>
        </w:tc>
      </w:tr>
      <w:tr w:rsidR="00F96105" w:rsidRPr="009C54AE" w14:paraId="4975F5D3" w14:textId="77777777" w:rsidTr="001D07B4">
        <w:tc>
          <w:tcPr>
            <w:tcW w:w="2694" w:type="dxa"/>
            <w:vAlign w:val="center"/>
          </w:tcPr>
          <w:p w14:paraId="2D468296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0C71CA" w14:textId="77777777" w:rsidR="00F96105" w:rsidRPr="00BC1AFF" w:rsidRDefault="00C81A1F" w:rsidP="00C81A1F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</w:t>
            </w:r>
            <w:r w:rsidR="00F96105" w:rsidRPr="00BC1AF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ierwszy</w:t>
            </w:r>
          </w:p>
        </w:tc>
      </w:tr>
      <w:tr w:rsidR="00F96105" w:rsidRPr="009C54AE" w14:paraId="5C982D81" w14:textId="77777777" w:rsidTr="001D07B4">
        <w:tc>
          <w:tcPr>
            <w:tcW w:w="2694" w:type="dxa"/>
            <w:vAlign w:val="center"/>
          </w:tcPr>
          <w:p w14:paraId="4D647645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1A0E02" w14:textId="77777777" w:rsidR="00F96105" w:rsidRPr="00BC1AFF" w:rsidRDefault="00C81A1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</w:t>
            </w:r>
            <w:r w:rsidR="00F96105" w:rsidRPr="00BC1AF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F96105" w:rsidRPr="009C54AE" w14:paraId="350FB9AD" w14:textId="77777777" w:rsidTr="001D07B4">
        <w:tc>
          <w:tcPr>
            <w:tcW w:w="2694" w:type="dxa"/>
            <w:vAlign w:val="center"/>
          </w:tcPr>
          <w:p w14:paraId="55169257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F903B2" w14:textId="77777777" w:rsidR="00F96105" w:rsidRPr="00BC1AFF" w:rsidRDefault="00C81A1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F96105" w:rsidRPr="00BC1AF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F96105" w:rsidRPr="009C54AE" w14:paraId="47F0E35C" w14:textId="77777777" w:rsidTr="001D07B4">
        <w:tc>
          <w:tcPr>
            <w:tcW w:w="2694" w:type="dxa"/>
            <w:vAlign w:val="center"/>
          </w:tcPr>
          <w:p w14:paraId="3752FEE9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609FB0D" w14:textId="77777777" w:rsidR="00F96105" w:rsidRPr="00BC1AFF" w:rsidRDefault="00F96105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1AFF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II/4</w:t>
            </w:r>
          </w:p>
        </w:tc>
      </w:tr>
      <w:tr w:rsidR="00F96105" w:rsidRPr="009C54AE" w14:paraId="70D17411" w14:textId="77777777" w:rsidTr="001D07B4">
        <w:tc>
          <w:tcPr>
            <w:tcW w:w="2694" w:type="dxa"/>
            <w:vAlign w:val="center"/>
          </w:tcPr>
          <w:p w14:paraId="7F4F1EC1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95BC641" w14:textId="77777777" w:rsidR="00F96105" w:rsidRPr="00BC1AFF" w:rsidRDefault="00F96105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1AF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Specjalnościowy </w:t>
            </w:r>
            <w:r w:rsidRPr="00BC1AFF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do wyboru</w:t>
            </w:r>
          </w:p>
        </w:tc>
      </w:tr>
      <w:tr w:rsidR="00F96105" w:rsidRPr="009C54AE" w14:paraId="2C008791" w14:textId="77777777" w:rsidTr="001D07B4">
        <w:tc>
          <w:tcPr>
            <w:tcW w:w="2694" w:type="dxa"/>
            <w:vAlign w:val="center"/>
          </w:tcPr>
          <w:p w14:paraId="2E5EA2D1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F990277" w14:textId="77777777" w:rsidR="00F96105" w:rsidRPr="00BC1AFF" w:rsidRDefault="00F96105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1AF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F96105" w:rsidRPr="002E38BC" w14:paraId="10FBAF43" w14:textId="77777777" w:rsidTr="001D07B4">
        <w:tc>
          <w:tcPr>
            <w:tcW w:w="2694" w:type="dxa"/>
            <w:vAlign w:val="center"/>
          </w:tcPr>
          <w:p w14:paraId="2B5D94BA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01F6F40" w14:textId="77777777" w:rsidR="00F96105" w:rsidRPr="00BC1AFF" w:rsidRDefault="00F96105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BC1AFF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F96105" w:rsidRPr="009C54AE" w14:paraId="7A5FEFAD" w14:textId="77777777" w:rsidTr="001D07B4">
        <w:tc>
          <w:tcPr>
            <w:tcW w:w="2694" w:type="dxa"/>
            <w:vAlign w:val="center"/>
          </w:tcPr>
          <w:p w14:paraId="227F5BFB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AF88055" w14:textId="77777777" w:rsidR="00F96105" w:rsidRPr="00BC1AFF" w:rsidRDefault="00C81A1F" w:rsidP="001D07B4">
            <w:pPr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d</w:t>
            </w:r>
            <w:r w:rsidR="00F96105" w:rsidRPr="00BC1AFF">
              <w:rPr>
                <w:rFonts w:ascii="Corbel" w:hAnsi="Corbel" w:cs="Corbel"/>
              </w:rPr>
              <w:t>r Lech Zaręba</w:t>
            </w:r>
          </w:p>
        </w:tc>
      </w:tr>
    </w:tbl>
    <w:p w14:paraId="4D7AC5E5" w14:textId="77777777" w:rsidR="00F96105" w:rsidRDefault="00F96105" w:rsidP="00BC1AFF">
      <w:pPr>
        <w:pStyle w:val="Podpunkty"/>
        <w:ind w:left="284"/>
        <w:rPr>
          <w:rFonts w:ascii="Corbel" w:hAnsi="Corbel" w:cs="Corbel"/>
          <w:sz w:val="21"/>
          <w:szCs w:val="21"/>
        </w:rPr>
      </w:pPr>
    </w:p>
    <w:p w14:paraId="7A06BA61" w14:textId="77777777" w:rsidR="00F96105" w:rsidRPr="00B16566" w:rsidRDefault="00F96105" w:rsidP="00536149">
      <w:pPr>
        <w:pStyle w:val="Podpunkty"/>
        <w:ind w:left="284"/>
        <w:rPr>
          <w:rFonts w:ascii="Corbel" w:hAnsi="Corbel" w:cs="Corbel"/>
          <w:sz w:val="21"/>
          <w:szCs w:val="21"/>
        </w:rPr>
      </w:pPr>
      <w:r w:rsidRPr="00B16566">
        <w:rPr>
          <w:rFonts w:ascii="Corbel" w:hAnsi="Corbel" w:cs="Corbel"/>
          <w:sz w:val="21"/>
          <w:szCs w:val="21"/>
        </w:rPr>
        <w:t xml:space="preserve">1.1.Formy zajęć dydaktycznych, wymiar godzin i punktów </w:t>
      </w:r>
      <w:proofErr w:type="spellStart"/>
      <w:r w:rsidRPr="00B16566">
        <w:rPr>
          <w:rFonts w:ascii="Corbel" w:hAnsi="Corbel" w:cs="Corbel"/>
          <w:sz w:val="21"/>
          <w:szCs w:val="21"/>
        </w:rPr>
        <w:t>ECTS</w:t>
      </w:r>
      <w:proofErr w:type="spellEnd"/>
      <w:r w:rsidRPr="00B16566">
        <w:rPr>
          <w:rFonts w:ascii="Corbel" w:hAnsi="Corbel" w:cs="Corbel"/>
          <w:sz w:val="21"/>
          <w:szCs w:val="21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7"/>
        <w:gridCol w:w="889"/>
        <w:gridCol w:w="755"/>
        <w:gridCol w:w="851"/>
        <w:gridCol w:w="776"/>
        <w:gridCol w:w="806"/>
        <w:gridCol w:w="717"/>
        <w:gridCol w:w="926"/>
        <w:gridCol w:w="1145"/>
        <w:gridCol w:w="1482"/>
      </w:tblGrid>
      <w:tr w:rsidR="00F96105" w:rsidRPr="00B16566" w14:paraId="79902D35" w14:textId="77777777">
        <w:tc>
          <w:tcPr>
            <w:tcW w:w="1048" w:type="dxa"/>
          </w:tcPr>
          <w:p w14:paraId="6F29136C" w14:textId="77777777" w:rsidR="00F96105" w:rsidRPr="00C81A1F" w:rsidRDefault="00F96105" w:rsidP="00CA6B5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Semestr</w:t>
            </w:r>
          </w:p>
          <w:p w14:paraId="15DAFD90" w14:textId="77777777" w:rsidR="00F96105" w:rsidRPr="00C81A1F" w:rsidRDefault="00F96105" w:rsidP="00CA6B5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0D3E4360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C81A1F">
              <w:rPr>
                <w:rFonts w:ascii="Corbel" w:hAnsi="Corbel" w:cs="Corbel"/>
                <w:lang w:eastAsia="en-US"/>
              </w:rPr>
              <w:t>Wykł</w:t>
            </w:r>
            <w:proofErr w:type="spellEnd"/>
            <w:r w:rsidRPr="00C81A1F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28AB66FC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529A925C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C81A1F">
              <w:rPr>
                <w:rFonts w:ascii="Corbel" w:hAnsi="Corbel" w:cs="Corbel"/>
                <w:lang w:eastAsia="en-US"/>
              </w:rPr>
              <w:t>Konw</w:t>
            </w:r>
            <w:proofErr w:type="spellEnd"/>
            <w:r w:rsidRPr="00C81A1F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0EEDB1D6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4FCC0D1F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C81A1F">
              <w:rPr>
                <w:rFonts w:ascii="Corbel" w:hAnsi="Corbel" w:cs="Corbel"/>
                <w:lang w:eastAsia="en-US"/>
              </w:rPr>
              <w:t>Sem</w:t>
            </w:r>
            <w:proofErr w:type="spellEnd"/>
            <w:r w:rsidRPr="00C81A1F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622048CF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C81A1F">
              <w:rPr>
                <w:rFonts w:ascii="Corbel" w:hAnsi="Corbel" w:cs="Corbel"/>
                <w:lang w:eastAsia="en-US"/>
              </w:rPr>
              <w:t>ZP</w:t>
            </w:r>
            <w:proofErr w:type="spellEnd"/>
          </w:p>
        </w:tc>
        <w:tc>
          <w:tcPr>
            <w:tcW w:w="957" w:type="dxa"/>
            <w:vAlign w:val="center"/>
          </w:tcPr>
          <w:p w14:paraId="0B961248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C81A1F">
              <w:rPr>
                <w:rFonts w:ascii="Corbel" w:hAnsi="Corbel" w:cs="Corbel"/>
                <w:lang w:eastAsia="en-US"/>
              </w:rPr>
              <w:t>Prakt</w:t>
            </w:r>
            <w:proofErr w:type="spellEnd"/>
            <w:r w:rsidRPr="00C81A1F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174808E9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418A8153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C81A1F">
              <w:rPr>
                <w:rFonts w:ascii="Corbel" w:hAnsi="Corbel" w:cs="Corbel"/>
                <w:b/>
                <w:bCs/>
                <w:lang w:eastAsia="en-US"/>
              </w:rPr>
              <w:t xml:space="preserve">Liczba pkt </w:t>
            </w:r>
            <w:proofErr w:type="spellStart"/>
            <w:r w:rsidRPr="00C81A1F">
              <w:rPr>
                <w:rFonts w:ascii="Corbel" w:hAnsi="Corbel" w:cs="Corbel"/>
                <w:b/>
                <w:bCs/>
                <w:lang w:eastAsia="en-US"/>
              </w:rPr>
              <w:t>ECTS</w:t>
            </w:r>
            <w:proofErr w:type="spellEnd"/>
          </w:p>
        </w:tc>
      </w:tr>
      <w:tr w:rsidR="00F96105" w:rsidRPr="00B16566" w14:paraId="6BF5C949" w14:textId="77777777">
        <w:trPr>
          <w:trHeight w:val="453"/>
        </w:trPr>
        <w:tc>
          <w:tcPr>
            <w:tcW w:w="1048" w:type="dxa"/>
            <w:vAlign w:val="center"/>
          </w:tcPr>
          <w:p w14:paraId="2B234536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C81A1F"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  <w:tc>
          <w:tcPr>
            <w:tcW w:w="921" w:type="dxa"/>
            <w:vAlign w:val="center"/>
          </w:tcPr>
          <w:p w14:paraId="0323054F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C81A1F"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vAlign w:val="center"/>
          </w:tcPr>
          <w:p w14:paraId="718F4F42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C81A1F"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21E09396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3F8AAE98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4658D389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58B81233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289F09CB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78476D5C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673B6099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C81A1F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4F37F173" w14:textId="77777777" w:rsidR="00F96105" w:rsidRPr="00BC1AFF" w:rsidRDefault="00F96105" w:rsidP="00536149">
      <w:pPr>
        <w:pStyle w:val="Podpunkty"/>
        <w:ind w:left="0"/>
        <w:rPr>
          <w:rFonts w:ascii="Corbel" w:hAnsi="Corbel" w:cs="Corbel"/>
          <w:b w:val="0"/>
          <w:bCs w:val="0"/>
          <w:sz w:val="22"/>
          <w:szCs w:val="22"/>
          <w:lang w:eastAsia="en-US"/>
        </w:rPr>
      </w:pPr>
    </w:p>
    <w:p w14:paraId="3036B367" w14:textId="77777777" w:rsidR="00F96105" w:rsidRPr="00BC1AFF" w:rsidRDefault="00F96105" w:rsidP="00536149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 xml:space="preserve">1.2.  Sposób realizacji zajęć  </w:t>
      </w:r>
    </w:p>
    <w:p w14:paraId="3D8D3C1A" w14:textId="77777777" w:rsidR="00C81A1F" w:rsidRPr="00617C46" w:rsidRDefault="00C81A1F" w:rsidP="00C81A1F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</w:rPr>
        <w:t xml:space="preserve">zajęcia w formie </w:t>
      </w:r>
      <w:r w:rsidRPr="00617C46">
        <w:rPr>
          <w:rFonts w:ascii="Corbel" w:hAnsi="Corbel"/>
          <w:b w:val="0"/>
          <w:smallCaps w:val="0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</w:rPr>
        <w:t>Teams</w:t>
      </w:r>
      <w:proofErr w:type="spellEnd"/>
    </w:p>
    <w:p w14:paraId="6E47886F" w14:textId="77777777" w:rsidR="00C81A1F" w:rsidRPr="009A27B8" w:rsidRDefault="00C81A1F" w:rsidP="00C81A1F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A27B8">
        <w:rPr>
          <w:rFonts w:ascii="MS Gothic" w:eastAsia="MS Gothic" w:hAnsi="MS Gothic" w:cs="MS Gothic" w:hint="eastAsia"/>
          <w:b w:val="0"/>
        </w:rPr>
        <w:t>☐</w:t>
      </w:r>
      <w:r w:rsidRPr="009A27B8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1"/>
    <w:p w14:paraId="494A061B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37D91659" w14:textId="77777777" w:rsidR="00F96105" w:rsidRDefault="00F96105" w:rsidP="00536149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 xml:space="preserve">1.3 Forma zaliczenia przedmiotu /modułu (z toku) </w:t>
      </w:r>
    </w:p>
    <w:p w14:paraId="1E3B1453" w14:textId="77777777" w:rsidR="00C81A1F" w:rsidRPr="00BC1AFF" w:rsidRDefault="00C81A1F" w:rsidP="00536149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5B876C46" w14:textId="77777777" w:rsidR="00F96105" w:rsidRPr="00BC1AFF" w:rsidRDefault="00F96105" w:rsidP="00BC1AFF">
      <w:pPr>
        <w:pStyle w:val="Punktygwne"/>
        <w:spacing w:before="0" w:after="0"/>
        <w:ind w:firstLine="360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>zaliczenie z oceną</w:t>
      </w:r>
    </w:p>
    <w:p w14:paraId="75519524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55D36C81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B16566">
        <w:rPr>
          <w:rFonts w:ascii="Corbel" w:hAnsi="Corbel" w:cs="Corbel"/>
          <w:sz w:val="21"/>
          <w:szCs w:val="21"/>
        </w:rPr>
        <w:t>2</w:t>
      </w:r>
      <w:r w:rsidRPr="00BC1AFF">
        <w:rPr>
          <w:rFonts w:ascii="Corbel" w:hAnsi="Corbel" w:cs="Corbel"/>
          <w:sz w:val="22"/>
          <w:szCs w:val="22"/>
        </w:rPr>
        <w:t xml:space="preserve">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F96105" w:rsidRPr="00BC1AFF" w14:paraId="4C28B8E3" w14:textId="77777777">
        <w:tc>
          <w:tcPr>
            <w:tcW w:w="9670" w:type="dxa"/>
          </w:tcPr>
          <w:p w14:paraId="2AF67665" w14:textId="77777777" w:rsidR="00F96105" w:rsidRPr="00C81A1F" w:rsidRDefault="00F96105" w:rsidP="00CA6B58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Student powinien posiadać wiedzę z finansów, bankowości i zarządzania. Ponadto wymagana jest znajomość aktualnych wydarzeń ze sfery biznesu i gospodarki.</w:t>
            </w:r>
          </w:p>
        </w:tc>
      </w:tr>
    </w:tbl>
    <w:p w14:paraId="5149BF25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1536D0C0" w14:textId="77777777" w:rsidR="00F96105" w:rsidRPr="0083242D" w:rsidRDefault="00F96105" w:rsidP="00BC1AFF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83242D">
        <w:rPr>
          <w:rFonts w:ascii="Corbel" w:hAnsi="Corbel" w:cs="Corbel"/>
          <w:sz w:val="22"/>
          <w:szCs w:val="22"/>
        </w:rPr>
        <w:t>3. CELE, EFEKTY UCZENIA SIĘ, TREŚCI PROGRAMOWE I STOSOWANE METODY DYDAKTYCZNE</w:t>
      </w:r>
    </w:p>
    <w:p w14:paraId="72F31536" w14:textId="77777777" w:rsidR="00F96105" w:rsidRPr="00BC1AFF" w:rsidRDefault="00F96105" w:rsidP="00536149">
      <w:pPr>
        <w:pStyle w:val="Podpunkty"/>
        <w:rPr>
          <w:rFonts w:ascii="Corbel" w:hAnsi="Corbel" w:cs="Corbel"/>
          <w:b w:val="0"/>
          <w:bCs w:val="0"/>
          <w:i/>
          <w:iCs/>
          <w:sz w:val="22"/>
          <w:szCs w:val="22"/>
        </w:rPr>
      </w:pPr>
      <w:r w:rsidRPr="00BC1AFF">
        <w:rPr>
          <w:rFonts w:ascii="Corbel" w:hAnsi="Corbel" w:cs="Corbel"/>
          <w:sz w:val="22"/>
          <w:szCs w:val="22"/>
        </w:rPr>
        <w:t xml:space="preserve">3.1 Cele przedmiotu/modułu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6"/>
        <w:gridCol w:w="8558"/>
      </w:tblGrid>
      <w:tr w:rsidR="00F96105" w:rsidRPr="00BC1AFF" w14:paraId="56A799FE" w14:textId="77777777">
        <w:tc>
          <w:tcPr>
            <w:tcW w:w="851" w:type="dxa"/>
            <w:vAlign w:val="center"/>
          </w:tcPr>
          <w:p w14:paraId="7281B30C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4BECC11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Zapoznanie studentów z kategoriami, zasadami, normami oraz narzędziami związanymi z ryzykiem bankowym.</w:t>
            </w:r>
          </w:p>
        </w:tc>
      </w:tr>
      <w:tr w:rsidR="00F96105" w:rsidRPr="00BC1AFF" w14:paraId="4BFC909B" w14:textId="77777777">
        <w:tc>
          <w:tcPr>
            <w:tcW w:w="851" w:type="dxa"/>
            <w:vAlign w:val="center"/>
          </w:tcPr>
          <w:p w14:paraId="76CB7BD0" w14:textId="77777777" w:rsidR="00F96105" w:rsidRPr="00C81A1F" w:rsidRDefault="00F96105" w:rsidP="00CA6B5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C81A1F">
              <w:rPr>
                <w:rFonts w:ascii="Corbel" w:hAnsi="Corbel" w:cs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7759D2E5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Wyjaśnienie modeli oraz teorii z zakresu zarządzania ryzykiem bankowym w jego charakterystycznych obszarach – kredytowym, walutowym, operacyjnym, rynkowym, kapitałowym oraz płynności.</w:t>
            </w:r>
          </w:p>
        </w:tc>
      </w:tr>
      <w:tr w:rsidR="00F96105" w:rsidRPr="00BC1AFF" w14:paraId="0F1B7945" w14:textId="77777777">
        <w:tc>
          <w:tcPr>
            <w:tcW w:w="851" w:type="dxa"/>
            <w:vAlign w:val="center"/>
          </w:tcPr>
          <w:p w14:paraId="33445610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C3</w:t>
            </w:r>
          </w:p>
        </w:tc>
        <w:tc>
          <w:tcPr>
            <w:tcW w:w="8819" w:type="dxa"/>
            <w:vAlign w:val="center"/>
          </w:tcPr>
          <w:p w14:paraId="5FA66FCA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Wypracowanie umiejętności samodzielnego identyfikowania, pomiaru i monitorowania podstawowymi obszarami ryzyka bankowego.</w:t>
            </w:r>
          </w:p>
        </w:tc>
      </w:tr>
      <w:tr w:rsidR="00F96105" w:rsidRPr="00BC1AFF" w14:paraId="19F371C7" w14:textId="77777777">
        <w:tc>
          <w:tcPr>
            <w:tcW w:w="851" w:type="dxa"/>
            <w:vAlign w:val="center"/>
          </w:tcPr>
          <w:p w14:paraId="2C07FA39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C4</w:t>
            </w:r>
          </w:p>
        </w:tc>
        <w:tc>
          <w:tcPr>
            <w:tcW w:w="8819" w:type="dxa"/>
            <w:vAlign w:val="center"/>
          </w:tcPr>
          <w:p w14:paraId="4917325A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Wypracowanie umiejętności samodzielnego posługiwania się aktami normatywnymi w zakresie zarządzania ryzykiem bankowym.</w:t>
            </w:r>
          </w:p>
        </w:tc>
      </w:tr>
    </w:tbl>
    <w:p w14:paraId="2B6092EC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32F120FB" w14:textId="77777777" w:rsidR="00F96105" w:rsidRPr="00BC1AFF" w:rsidRDefault="00F96105" w:rsidP="00BC1AFF">
      <w:pPr>
        <w:spacing w:after="0" w:line="240" w:lineRule="auto"/>
        <w:ind w:left="426"/>
        <w:rPr>
          <w:rFonts w:ascii="Corbel" w:hAnsi="Corbel" w:cs="Corbel"/>
          <w:sz w:val="22"/>
          <w:szCs w:val="22"/>
        </w:rPr>
      </w:pPr>
      <w:r w:rsidRPr="0083242D">
        <w:rPr>
          <w:rFonts w:ascii="Corbel" w:hAnsi="Corbel" w:cs="Corbel"/>
          <w:b/>
          <w:bCs/>
          <w:sz w:val="22"/>
          <w:szCs w:val="22"/>
        </w:rPr>
        <w:t>3.2 Efekty uczenia się dla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46"/>
        <w:gridCol w:w="5830"/>
        <w:gridCol w:w="1812"/>
      </w:tblGrid>
      <w:tr w:rsidR="00F96105" w:rsidRPr="00BC1AFF" w14:paraId="493F0732" w14:textId="77777777" w:rsidTr="00BC1AFF">
        <w:tc>
          <w:tcPr>
            <w:tcW w:w="1646" w:type="dxa"/>
            <w:vAlign w:val="center"/>
          </w:tcPr>
          <w:p w14:paraId="678B0E54" w14:textId="77777777" w:rsidR="00F96105" w:rsidRPr="00C81A1F" w:rsidRDefault="00F96105" w:rsidP="001D07B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smallCaps w:val="0"/>
              </w:rPr>
              <w:t>EK</w:t>
            </w: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5830" w:type="dxa"/>
            <w:vAlign w:val="center"/>
          </w:tcPr>
          <w:p w14:paraId="5CB1A1DA" w14:textId="77777777" w:rsidR="00F96105" w:rsidRPr="00C81A1F" w:rsidRDefault="00F96105" w:rsidP="001D07B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12" w:type="dxa"/>
            <w:vAlign w:val="center"/>
          </w:tcPr>
          <w:p w14:paraId="259B1345" w14:textId="77777777" w:rsidR="00F96105" w:rsidRPr="00C81A1F" w:rsidRDefault="00F96105" w:rsidP="001D07B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</w:p>
        </w:tc>
      </w:tr>
      <w:tr w:rsidR="00F96105" w:rsidRPr="00BC1AFF" w14:paraId="2ADD7B76" w14:textId="77777777" w:rsidTr="00BC1AFF">
        <w:tc>
          <w:tcPr>
            <w:tcW w:w="1646" w:type="dxa"/>
          </w:tcPr>
          <w:p w14:paraId="1203EDCC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830" w:type="dxa"/>
          </w:tcPr>
          <w:p w14:paraId="3BC65C6A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Zna i rozumie istotę ryzyka bankowego w różnych jego obszarach, tj. kredytowym, walutowym, operacyjnym, rynkowym, kapitałowym oraz płynności.</w:t>
            </w:r>
          </w:p>
        </w:tc>
        <w:tc>
          <w:tcPr>
            <w:tcW w:w="1812" w:type="dxa"/>
          </w:tcPr>
          <w:p w14:paraId="43D415EA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K_W07</w:t>
            </w:r>
          </w:p>
          <w:p w14:paraId="3A598FD2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K_W09</w:t>
            </w:r>
          </w:p>
          <w:p w14:paraId="18EF2EA7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K_W10</w:t>
            </w:r>
          </w:p>
        </w:tc>
      </w:tr>
      <w:tr w:rsidR="00F96105" w:rsidRPr="00BC1AFF" w14:paraId="1F07632F" w14:textId="77777777" w:rsidTr="00BC1AFF">
        <w:tc>
          <w:tcPr>
            <w:tcW w:w="1646" w:type="dxa"/>
          </w:tcPr>
          <w:p w14:paraId="0DD61997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5830" w:type="dxa"/>
          </w:tcPr>
          <w:p w14:paraId="69A0606A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Nabędzie praktyczną zdolność identyfikowania, pomiaru, monitorowania oraz zarządzania podstawowymi obszarami ryzyka bankowego. </w:t>
            </w:r>
          </w:p>
        </w:tc>
        <w:tc>
          <w:tcPr>
            <w:tcW w:w="1812" w:type="dxa"/>
          </w:tcPr>
          <w:p w14:paraId="489FA2F1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K_U01</w:t>
            </w:r>
          </w:p>
          <w:p w14:paraId="2F3AC8A0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K_U10</w:t>
            </w:r>
          </w:p>
          <w:p w14:paraId="7D2F6A21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K_U11</w:t>
            </w:r>
          </w:p>
        </w:tc>
      </w:tr>
      <w:tr w:rsidR="00F96105" w:rsidRPr="00BC1AFF" w14:paraId="0E9C6E61" w14:textId="77777777" w:rsidTr="00BC1AFF">
        <w:tc>
          <w:tcPr>
            <w:tcW w:w="1646" w:type="dxa"/>
          </w:tcPr>
          <w:p w14:paraId="7974CAD4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5830" w:type="dxa"/>
          </w:tcPr>
          <w:p w14:paraId="10960F2B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Ma świadomość konieczności systemowego zarządzania ryzykiem bankowym, którego celem jest optymalna ochrona interesariuszy banku.</w:t>
            </w:r>
          </w:p>
        </w:tc>
        <w:tc>
          <w:tcPr>
            <w:tcW w:w="1812" w:type="dxa"/>
          </w:tcPr>
          <w:p w14:paraId="67D0AAAD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K_K01</w:t>
            </w:r>
          </w:p>
          <w:p w14:paraId="4B30A8AE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K_K06</w:t>
            </w:r>
          </w:p>
          <w:p w14:paraId="24C40264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</w:tbl>
    <w:p w14:paraId="22432D9F" w14:textId="77777777" w:rsidR="00F96105" w:rsidRDefault="00F96105" w:rsidP="00536149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0639F0F3" w14:textId="77777777" w:rsidR="00F96105" w:rsidRPr="00BC1AFF" w:rsidRDefault="00F96105" w:rsidP="00536149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2"/>
          <w:szCs w:val="22"/>
        </w:rPr>
      </w:pPr>
      <w:r w:rsidRPr="00BC1AFF">
        <w:rPr>
          <w:rFonts w:ascii="Corbel" w:hAnsi="Corbel" w:cs="Corbel"/>
          <w:b/>
          <w:bCs/>
          <w:sz w:val="22"/>
          <w:szCs w:val="22"/>
        </w:rPr>
        <w:t xml:space="preserve">3.3 Treści programowe </w:t>
      </w:r>
    </w:p>
    <w:p w14:paraId="77DD58FD" w14:textId="77777777" w:rsidR="00F96105" w:rsidRPr="00C81A1F" w:rsidRDefault="00F96105" w:rsidP="00536149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Corbel" w:hAnsi="Corbel" w:cs="Corbel"/>
        </w:rPr>
      </w:pPr>
      <w:r w:rsidRPr="00C81A1F">
        <w:rPr>
          <w:rFonts w:ascii="Corbel" w:hAnsi="Corbel" w:cs="Corbel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F96105" w:rsidRPr="00BC1AFF" w14:paraId="3A3F2202" w14:textId="77777777">
        <w:tc>
          <w:tcPr>
            <w:tcW w:w="9639" w:type="dxa"/>
          </w:tcPr>
          <w:p w14:paraId="01ABE364" w14:textId="77777777" w:rsidR="00F96105" w:rsidRPr="00C81A1F" w:rsidRDefault="00F96105" w:rsidP="00CA6B58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Treści merytoryczne</w:t>
            </w:r>
          </w:p>
        </w:tc>
      </w:tr>
      <w:tr w:rsidR="00F96105" w:rsidRPr="00BC1AFF" w14:paraId="23E258F2" w14:textId="77777777">
        <w:tc>
          <w:tcPr>
            <w:tcW w:w="9639" w:type="dxa"/>
          </w:tcPr>
          <w:p w14:paraId="230886CA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Wprowadzenie – do pojęcia ryzyka i niepewności.</w:t>
            </w:r>
          </w:p>
          <w:p w14:paraId="1927B89F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Pojęcie ryzyka bankowego oraz jego przyczyny, rodzaje ryzyka bankowego, koncepcje zarządzania ryzykiem.</w:t>
            </w:r>
          </w:p>
        </w:tc>
      </w:tr>
      <w:tr w:rsidR="00F96105" w:rsidRPr="00BC1AFF" w14:paraId="2A3D6EC3" w14:textId="77777777">
        <w:tc>
          <w:tcPr>
            <w:tcW w:w="9639" w:type="dxa"/>
          </w:tcPr>
          <w:p w14:paraId="3D7B03B2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Indywidualne ryzyko kredytowe.</w:t>
            </w:r>
          </w:p>
          <w:p w14:paraId="33499DF4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Klasyfikacja ryzyka kredytowego. Ocena zdolności kredytowej. Instrumenty redukcji ryzyka kredytowego. Monitoring kredytów. Rezerwy celowe.</w:t>
            </w:r>
          </w:p>
        </w:tc>
      </w:tr>
      <w:tr w:rsidR="00F96105" w:rsidRPr="00BC1AFF" w14:paraId="4E31D83A" w14:textId="77777777">
        <w:tc>
          <w:tcPr>
            <w:tcW w:w="9639" w:type="dxa"/>
          </w:tcPr>
          <w:p w14:paraId="11CEEF82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portfela kredytowego.</w:t>
            </w:r>
          </w:p>
          <w:p w14:paraId="4AC6F856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Dywersyfikacja (rozproszenie) kredytów. Teoria portfelowa a kredyty. Normy koncentracji kredytów. Zewnętrzne oraz wewnętrzne normy ostrożnościowe. </w:t>
            </w:r>
          </w:p>
        </w:tc>
      </w:tr>
      <w:tr w:rsidR="00F96105" w:rsidRPr="00BC1AFF" w14:paraId="7272F586" w14:textId="77777777">
        <w:tc>
          <w:tcPr>
            <w:tcW w:w="9639" w:type="dxa"/>
          </w:tcPr>
          <w:p w14:paraId="694112DE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płynności.</w:t>
            </w:r>
          </w:p>
          <w:p w14:paraId="007DBAC6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Rentowność a płynność. Źródła ryzyka płynności. Pomiar ryzyka płynności. Strategie i techniki zachowania płynności. Wskaźniki płynności finansowej banku. </w:t>
            </w:r>
          </w:p>
        </w:tc>
      </w:tr>
      <w:tr w:rsidR="00F96105" w:rsidRPr="00BC1AFF" w14:paraId="6EDFF9BC" w14:textId="77777777">
        <w:tc>
          <w:tcPr>
            <w:tcW w:w="9639" w:type="dxa"/>
          </w:tcPr>
          <w:p w14:paraId="3F420D57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stopy procentowej.</w:t>
            </w:r>
          </w:p>
          <w:p w14:paraId="6406AB21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Gospodarka i procent. Źródła ryzyka stopy procentowej. Pomiar ryzyka stopy procentowej. Zarządzanie ryzykiem stopy procentowej.</w:t>
            </w:r>
          </w:p>
        </w:tc>
      </w:tr>
      <w:tr w:rsidR="00F96105" w:rsidRPr="00BC1AFF" w14:paraId="7D13A9F5" w14:textId="77777777">
        <w:tc>
          <w:tcPr>
            <w:tcW w:w="9639" w:type="dxa"/>
          </w:tcPr>
          <w:p w14:paraId="217C9EF4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walutowe.</w:t>
            </w:r>
          </w:p>
          <w:p w14:paraId="44EAC1A5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Kursy walut a globalna polityka gospodarcza i monetarna. Wahania kursów walut a wycena pozycji walutowych banku. Pomiar ryzyka walutowego. Zarządzanie ryzykiem walutowym.</w:t>
            </w:r>
          </w:p>
        </w:tc>
      </w:tr>
      <w:tr w:rsidR="00F96105" w:rsidRPr="00BC1AFF" w14:paraId="12664D01" w14:textId="77777777">
        <w:tc>
          <w:tcPr>
            <w:tcW w:w="9639" w:type="dxa"/>
          </w:tcPr>
          <w:p w14:paraId="766C2618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portfela papierów wartościowych.</w:t>
            </w:r>
          </w:p>
          <w:p w14:paraId="2DFE5DEE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Papiery wartościowe jako element aktywów banku. Modele i strategie zarządzania portfelem </w:t>
            </w:r>
            <w:r w:rsidRPr="00C81A1F">
              <w:rPr>
                <w:rFonts w:ascii="Corbel" w:hAnsi="Corbel" w:cs="Corbel"/>
              </w:rPr>
              <w:lastRenderedPageBreak/>
              <w:t xml:space="preserve">papierów wartościowych. Pomiar efektywności portfela papierów wartościowych. </w:t>
            </w:r>
            <w:proofErr w:type="spellStart"/>
            <w:r w:rsidRPr="00C81A1F">
              <w:rPr>
                <w:rFonts w:ascii="Corbel" w:hAnsi="Corbel" w:cs="Corbel"/>
                <w:i/>
                <w:iCs/>
              </w:rPr>
              <w:t>Credit</w:t>
            </w:r>
            <w:proofErr w:type="spellEnd"/>
            <w:r w:rsidRPr="00C81A1F">
              <w:rPr>
                <w:rFonts w:ascii="Corbel" w:hAnsi="Corbel" w:cs="Corbel"/>
                <w:i/>
                <w:iCs/>
              </w:rPr>
              <w:t xml:space="preserve"> rating</w:t>
            </w:r>
            <w:r w:rsidRPr="00C81A1F">
              <w:rPr>
                <w:rFonts w:ascii="Corbel" w:hAnsi="Corbel" w:cs="Corbel"/>
              </w:rPr>
              <w:t>.</w:t>
            </w:r>
          </w:p>
        </w:tc>
      </w:tr>
      <w:tr w:rsidR="00F96105" w:rsidRPr="00BC1AFF" w14:paraId="63D6A55E" w14:textId="77777777">
        <w:tc>
          <w:tcPr>
            <w:tcW w:w="9639" w:type="dxa"/>
          </w:tcPr>
          <w:p w14:paraId="79A4D529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lastRenderedPageBreak/>
              <w:t>Bank a instrumenty pochodne.</w:t>
            </w:r>
          </w:p>
          <w:p w14:paraId="43926FC5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Istota instrumentów pochodnych. </w:t>
            </w:r>
            <w:proofErr w:type="spellStart"/>
            <w:r w:rsidRPr="00C81A1F">
              <w:rPr>
                <w:rFonts w:ascii="Corbel" w:hAnsi="Corbel" w:cs="Corbel"/>
                <w:i/>
                <w:iCs/>
              </w:rPr>
              <w:t>Forward</w:t>
            </w:r>
            <w:proofErr w:type="spellEnd"/>
            <w:r w:rsidRPr="00C81A1F">
              <w:rPr>
                <w:rFonts w:ascii="Corbel" w:hAnsi="Corbel" w:cs="Corbel"/>
                <w:i/>
                <w:iCs/>
              </w:rPr>
              <w:t xml:space="preserve">. </w:t>
            </w:r>
            <w:proofErr w:type="spellStart"/>
            <w:r w:rsidRPr="00C81A1F">
              <w:rPr>
                <w:rFonts w:ascii="Corbel" w:hAnsi="Corbel" w:cs="Corbel"/>
                <w:i/>
                <w:iCs/>
              </w:rPr>
              <w:t>Future</w:t>
            </w:r>
            <w:proofErr w:type="spellEnd"/>
            <w:r w:rsidRPr="00C81A1F">
              <w:rPr>
                <w:rFonts w:ascii="Corbel" w:hAnsi="Corbel" w:cs="Corbel"/>
                <w:i/>
                <w:iCs/>
              </w:rPr>
              <w:t>.</w:t>
            </w:r>
            <w:r w:rsidRPr="00C81A1F">
              <w:rPr>
                <w:rFonts w:ascii="Corbel" w:hAnsi="Corbel" w:cs="Corbel"/>
              </w:rPr>
              <w:t xml:space="preserve"> </w:t>
            </w:r>
            <w:proofErr w:type="spellStart"/>
            <w:r w:rsidRPr="00C81A1F">
              <w:rPr>
                <w:rFonts w:ascii="Corbel" w:hAnsi="Corbel" w:cs="Corbel"/>
              </w:rPr>
              <w:t>Swap</w:t>
            </w:r>
            <w:proofErr w:type="spellEnd"/>
            <w:r w:rsidRPr="00C81A1F">
              <w:rPr>
                <w:rFonts w:ascii="Corbel" w:hAnsi="Corbel" w:cs="Corbel"/>
              </w:rPr>
              <w:t xml:space="preserve"> procentowy. Opcja. Strategia zabezpieczania </w:t>
            </w:r>
          </w:p>
        </w:tc>
      </w:tr>
    </w:tbl>
    <w:p w14:paraId="3C92E7F5" w14:textId="77777777" w:rsidR="00F96105" w:rsidRPr="00BC1AFF" w:rsidRDefault="00F96105" w:rsidP="00536149">
      <w:pPr>
        <w:spacing w:after="0" w:line="240" w:lineRule="auto"/>
        <w:rPr>
          <w:rFonts w:ascii="Corbel" w:hAnsi="Corbel" w:cs="Corbel"/>
          <w:sz w:val="22"/>
          <w:szCs w:val="22"/>
        </w:rPr>
      </w:pPr>
    </w:p>
    <w:p w14:paraId="6AD96F8D" w14:textId="77777777" w:rsidR="00F96105" w:rsidRPr="00C81A1F" w:rsidRDefault="00F96105" w:rsidP="00536149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 w:cs="Corbel"/>
        </w:rPr>
      </w:pPr>
      <w:r w:rsidRPr="00C81A1F">
        <w:rPr>
          <w:rFonts w:ascii="Corbel" w:hAnsi="Corbel" w:cs="Corbel"/>
        </w:rPr>
        <w:t>Problematyka ćwiczeń audytoryjnych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F96105" w:rsidRPr="00BC1AFF" w14:paraId="44116B8C" w14:textId="77777777">
        <w:tc>
          <w:tcPr>
            <w:tcW w:w="9639" w:type="dxa"/>
          </w:tcPr>
          <w:p w14:paraId="3299745A" w14:textId="77777777" w:rsidR="00F96105" w:rsidRPr="00C81A1F" w:rsidRDefault="00F96105" w:rsidP="00CA6B58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Treści merytoryczne</w:t>
            </w:r>
          </w:p>
        </w:tc>
      </w:tr>
      <w:tr w:rsidR="00F96105" w:rsidRPr="00BC1AFF" w14:paraId="298BFFCD" w14:textId="77777777">
        <w:tc>
          <w:tcPr>
            <w:tcW w:w="9639" w:type="dxa"/>
          </w:tcPr>
          <w:p w14:paraId="6B57C54E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Etapy zarządzania ryzykiem bankowym.</w:t>
            </w:r>
          </w:p>
          <w:p w14:paraId="21392D4F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Identyfikacja ryzyka bankowego. Sterowanie ryzykiem bankowym. Kontrolowanie aktualnego i potencjalnego ryzyka bankowego. </w:t>
            </w:r>
          </w:p>
        </w:tc>
      </w:tr>
      <w:tr w:rsidR="00F96105" w:rsidRPr="00BC1AFF" w14:paraId="355A8103" w14:textId="77777777">
        <w:tc>
          <w:tcPr>
            <w:tcW w:w="9639" w:type="dxa"/>
          </w:tcPr>
          <w:p w14:paraId="7AE1159D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Ocena zdolności kredytowej gospodarstw domowych.</w:t>
            </w:r>
          </w:p>
          <w:p w14:paraId="28072671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Rodzaje i wysokość kredytu. Charakter gospodarstwa domowego. Źródła oraz wysokość dochodów. Dochód do dyspozycji. Majątek netto. Obciążenia i zobowiązania kredytowe. Historia kredytowa (</w:t>
            </w:r>
            <w:proofErr w:type="spellStart"/>
            <w:r w:rsidRPr="00C81A1F">
              <w:rPr>
                <w:rFonts w:ascii="Corbel" w:hAnsi="Corbel" w:cs="Corbel"/>
              </w:rPr>
              <w:t>BIK</w:t>
            </w:r>
            <w:proofErr w:type="spellEnd"/>
            <w:r w:rsidRPr="00C81A1F">
              <w:rPr>
                <w:rFonts w:ascii="Corbel" w:hAnsi="Corbel" w:cs="Corbel"/>
              </w:rPr>
              <w:t>). Wkład własny.</w:t>
            </w:r>
          </w:p>
        </w:tc>
      </w:tr>
      <w:tr w:rsidR="00F96105" w:rsidRPr="00BC1AFF" w14:paraId="71B4D2EB" w14:textId="77777777">
        <w:tc>
          <w:tcPr>
            <w:tcW w:w="9639" w:type="dxa"/>
          </w:tcPr>
          <w:p w14:paraId="6C142043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Ocena zdolności kredytowej przedsiębiorstw.</w:t>
            </w:r>
          </w:p>
          <w:p w14:paraId="5B2691D1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Rodzaje kredytów dla przedsiębiorstw. Wartość oraz struktura majątku. Struktura kapitałów własnych oraz zobowiązań. Bieżąca i przewidywana rentowność i płynność. Analiza finansowa a ocena zdolności kredytowej. Ocena ryzyka kredytowego wg koncepcji „5C”</w:t>
            </w:r>
          </w:p>
        </w:tc>
      </w:tr>
      <w:tr w:rsidR="00F96105" w:rsidRPr="00BC1AFF" w14:paraId="305A279D" w14:textId="77777777">
        <w:tc>
          <w:tcPr>
            <w:tcW w:w="9639" w:type="dxa"/>
          </w:tcPr>
          <w:p w14:paraId="410C72F6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Ocena zdolności kredytowej podmiotów sektora publicznego.</w:t>
            </w:r>
          </w:p>
          <w:p w14:paraId="15A32F4C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Rodzaje podmiotów sektora publicznego oraz ich potrzeby kredytowe. Gwarancje i poręczenia. Strukturalne zadłużenie podmiotów sektora publicznego. </w:t>
            </w:r>
          </w:p>
        </w:tc>
      </w:tr>
      <w:tr w:rsidR="00F96105" w:rsidRPr="00BC1AFF" w14:paraId="041CE758" w14:textId="77777777">
        <w:tc>
          <w:tcPr>
            <w:tcW w:w="9639" w:type="dxa"/>
          </w:tcPr>
          <w:p w14:paraId="0DAE83EF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Pozostałe rodzaje ryzyka bankowego.</w:t>
            </w:r>
          </w:p>
          <w:p w14:paraId="7B082FC1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Ryzyko płynności. Ryzyko kapitałowe. Ryzyko operacyjne. Ryzyko rynkowe. </w:t>
            </w:r>
          </w:p>
        </w:tc>
      </w:tr>
      <w:tr w:rsidR="00F96105" w:rsidRPr="00BC1AFF" w14:paraId="1CDAA931" w14:textId="77777777">
        <w:tc>
          <w:tcPr>
            <w:tcW w:w="9639" w:type="dxa"/>
          </w:tcPr>
          <w:p w14:paraId="63E3C18E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bankowe a regulacje nadzorcze.</w:t>
            </w:r>
          </w:p>
          <w:p w14:paraId="33855355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Limity koncentracji. Próg koncentracji kapitałowej. Całkowity wymóg kapitałowy. Współczynnik wypłacalności. Rezerwy na ryzyko. Metoda wartości zagrożonej (</w:t>
            </w:r>
            <w:proofErr w:type="spellStart"/>
            <w:r w:rsidRPr="00C81A1F">
              <w:rPr>
                <w:rFonts w:ascii="Corbel" w:hAnsi="Corbel" w:cs="Corbel"/>
              </w:rPr>
              <w:t>VaR</w:t>
            </w:r>
            <w:proofErr w:type="spellEnd"/>
            <w:r w:rsidRPr="00C81A1F">
              <w:rPr>
                <w:rFonts w:ascii="Corbel" w:hAnsi="Corbel" w:cs="Corbel"/>
              </w:rPr>
              <w:t>).</w:t>
            </w:r>
          </w:p>
        </w:tc>
      </w:tr>
      <w:tr w:rsidR="00F96105" w:rsidRPr="00BC1AFF" w14:paraId="41A4D8A3" w14:textId="77777777">
        <w:tc>
          <w:tcPr>
            <w:tcW w:w="9639" w:type="dxa"/>
          </w:tcPr>
          <w:p w14:paraId="0B9970F4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bankowe a normy wewnątrzbankowe.</w:t>
            </w:r>
          </w:p>
          <w:p w14:paraId="188F044E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Monitoring kredytowy. Prawne instrumenty zabezpieczanie kredytów. Wewnętrzne limity zaangażowania.</w:t>
            </w:r>
          </w:p>
        </w:tc>
      </w:tr>
    </w:tbl>
    <w:p w14:paraId="6C17B6CF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64CD1BFB" w14:textId="77777777" w:rsidR="00F96105" w:rsidRDefault="00F96105" w:rsidP="00536149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>3.4 Metody dydaktyczne</w:t>
      </w:r>
    </w:p>
    <w:p w14:paraId="2BB764E5" w14:textId="77777777" w:rsidR="00C81A1F" w:rsidRPr="00BC1AFF" w:rsidRDefault="00C81A1F" w:rsidP="00536149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35A67092" w14:textId="77777777" w:rsidR="00F96105" w:rsidRPr="00C81A1F" w:rsidRDefault="00F96105" w:rsidP="00536149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  <w:r w:rsidRPr="00C81A1F">
        <w:rPr>
          <w:rFonts w:ascii="Corbel" w:hAnsi="Corbel" w:cs="Corbel"/>
          <w:b w:val="0"/>
          <w:bCs w:val="0"/>
          <w:smallCaps w:val="0"/>
        </w:rPr>
        <w:t>Wykład z prezentacją multimedialną</w:t>
      </w:r>
    </w:p>
    <w:p w14:paraId="4D39608A" w14:textId="77777777" w:rsidR="00F96105" w:rsidRPr="00C81A1F" w:rsidRDefault="00F96105" w:rsidP="00536149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C81A1F">
        <w:rPr>
          <w:rFonts w:ascii="Corbel" w:hAnsi="Corbel" w:cs="Corbel"/>
          <w:b w:val="0"/>
          <w:bCs w:val="0"/>
          <w:smallCaps w:val="0"/>
        </w:rPr>
        <w:t>Ćwiczenia: dyskusja, rozwiązywanie zadań i praca w grupach</w:t>
      </w:r>
    </w:p>
    <w:p w14:paraId="2D395D42" w14:textId="77777777" w:rsidR="00F96105" w:rsidRPr="00BC1AFF" w:rsidRDefault="00F96105" w:rsidP="00536149">
      <w:pPr>
        <w:pStyle w:val="Punktygwne"/>
        <w:spacing w:before="0" w:after="0"/>
        <w:jc w:val="both"/>
        <w:rPr>
          <w:rFonts w:ascii="Corbel" w:hAnsi="Corbel" w:cs="Corbel"/>
          <w:sz w:val="22"/>
          <w:szCs w:val="22"/>
        </w:rPr>
      </w:pPr>
    </w:p>
    <w:p w14:paraId="0CBB7FA0" w14:textId="77777777" w:rsidR="00F96105" w:rsidRDefault="00F96105" w:rsidP="00536149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 xml:space="preserve">4. METODY I KRYTERIA OCENY </w:t>
      </w:r>
    </w:p>
    <w:p w14:paraId="101BDE04" w14:textId="77777777" w:rsidR="00C81A1F" w:rsidRPr="00BC1AFF" w:rsidRDefault="00C81A1F" w:rsidP="00536149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1820FE78" w14:textId="77777777" w:rsidR="00F96105" w:rsidRDefault="00F96105" w:rsidP="00536149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>4.1 Sposoby weryfikacji efektów kształcenia</w:t>
      </w:r>
    </w:p>
    <w:p w14:paraId="44CF1237" w14:textId="77777777" w:rsidR="00C81A1F" w:rsidRPr="00BC1AFF" w:rsidRDefault="00C81A1F" w:rsidP="00536149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5"/>
        <w:gridCol w:w="5481"/>
        <w:gridCol w:w="2108"/>
      </w:tblGrid>
      <w:tr w:rsidR="00F96105" w:rsidRPr="00BC1AFF" w14:paraId="348DB946" w14:textId="77777777">
        <w:tc>
          <w:tcPr>
            <w:tcW w:w="1843" w:type="dxa"/>
            <w:vAlign w:val="center"/>
          </w:tcPr>
          <w:p w14:paraId="56FAB2E7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6AAE2979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Metody oceny efektów kształcenia</w:t>
            </w:r>
          </w:p>
          <w:p w14:paraId="3679F3D4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  <w:tc>
          <w:tcPr>
            <w:tcW w:w="2126" w:type="dxa"/>
            <w:vAlign w:val="center"/>
          </w:tcPr>
          <w:p w14:paraId="7F8BE2EE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</w:tc>
      </w:tr>
      <w:tr w:rsidR="00F96105" w:rsidRPr="00BC1AFF" w14:paraId="003EB39B" w14:textId="77777777">
        <w:tc>
          <w:tcPr>
            <w:tcW w:w="1843" w:type="dxa"/>
          </w:tcPr>
          <w:p w14:paraId="3C09932A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 xml:space="preserve">ek_01 </w:t>
            </w:r>
          </w:p>
        </w:tc>
        <w:tc>
          <w:tcPr>
            <w:tcW w:w="5670" w:type="dxa"/>
          </w:tcPr>
          <w:p w14:paraId="565F78D7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kolokwium, praca grupowa, obserwacja w trakcie zajęć</w:t>
            </w:r>
          </w:p>
        </w:tc>
        <w:tc>
          <w:tcPr>
            <w:tcW w:w="2126" w:type="dxa"/>
          </w:tcPr>
          <w:p w14:paraId="27ABADFE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wykład, ćwiczenia</w:t>
            </w:r>
          </w:p>
        </w:tc>
      </w:tr>
      <w:tr w:rsidR="00F96105" w:rsidRPr="00BC1AFF" w14:paraId="644B87AE" w14:textId="77777777">
        <w:tc>
          <w:tcPr>
            <w:tcW w:w="1843" w:type="dxa"/>
          </w:tcPr>
          <w:p w14:paraId="007CFBFB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ek_02</w:t>
            </w:r>
          </w:p>
        </w:tc>
        <w:tc>
          <w:tcPr>
            <w:tcW w:w="5670" w:type="dxa"/>
          </w:tcPr>
          <w:p w14:paraId="55DB8847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kolokwium, praca grupowa, obserwacja w trakcie zajęć</w:t>
            </w:r>
          </w:p>
        </w:tc>
        <w:tc>
          <w:tcPr>
            <w:tcW w:w="2126" w:type="dxa"/>
          </w:tcPr>
          <w:p w14:paraId="6207E791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wykład, ćwiczenia</w:t>
            </w:r>
          </w:p>
        </w:tc>
      </w:tr>
      <w:tr w:rsidR="00F96105" w:rsidRPr="00BC1AFF" w14:paraId="474138C2" w14:textId="77777777">
        <w:tc>
          <w:tcPr>
            <w:tcW w:w="1843" w:type="dxa"/>
          </w:tcPr>
          <w:p w14:paraId="40A10E87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 xml:space="preserve">ek_03 </w:t>
            </w:r>
          </w:p>
        </w:tc>
        <w:tc>
          <w:tcPr>
            <w:tcW w:w="5670" w:type="dxa"/>
          </w:tcPr>
          <w:p w14:paraId="7DB73598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praca grupowa, obserwacja w trakcie zajęć</w:t>
            </w:r>
          </w:p>
        </w:tc>
        <w:tc>
          <w:tcPr>
            <w:tcW w:w="2126" w:type="dxa"/>
          </w:tcPr>
          <w:p w14:paraId="788FFF47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2C2B4EF5" w14:textId="77777777" w:rsidR="00F96105" w:rsidRPr="00BC1AFF" w:rsidRDefault="00F96105" w:rsidP="00536149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p w14:paraId="1480D6BC" w14:textId="77777777" w:rsidR="00F96105" w:rsidRDefault="00F96105" w:rsidP="00536149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 xml:space="preserve">4.2 Warunki zaliczenia przedmiotu (kryteria oceniania) </w:t>
      </w:r>
    </w:p>
    <w:p w14:paraId="2DBAB9F2" w14:textId="77777777" w:rsidR="00C81A1F" w:rsidRPr="00BC1AFF" w:rsidRDefault="00C81A1F" w:rsidP="00536149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F96105" w:rsidRPr="00BC1AFF" w14:paraId="4CE1DAEF" w14:textId="77777777">
        <w:tc>
          <w:tcPr>
            <w:tcW w:w="9670" w:type="dxa"/>
          </w:tcPr>
          <w:p w14:paraId="6F7C55F9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Wykłady i ćwiczenia: </w:t>
            </w:r>
          </w:p>
          <w:p w14:paraId="0FFB223A" w14:textId="77777777" w:rsidR="00F96105" w:rsidRPr="00C81A1F" w:rsidRDefault="00F96105" w:rsidP="00CA6B58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1 kolokwium,</w:t>
            </w:r>
          </w:p>
          <w:p w14:paraId="305CCCC9" w14:textId="77777777" w:rsidR="00F96105" w:rsidRPr="00C81A1F" w:rsidRDefault="00F96105" w:rsidP="00CA6B58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1 praca zespołowa,</w:t>
            </w:r>
          </w:p>
          <w:p w14:paraId="7328F9F5" w14:textId="77777777" w:rsidR="00F96105" w:rsidRPr="00C81A1F" w:rsidRDefault="00F96105" w:rsidP="00CA6B58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ocena aktywności i przygotowania do zajęć na podstawie zadanej literatury.</w:t>
            </w:r>
          </w:p>
          <w:p w14:paraId="060A1C07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</w:tc>
      </w:tr>
    </w:tbl>
    <w:p w14:paraId="0F98EAFA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787B3EBA" w14:textId="77777777" w:rsidR="00F96105" w:rsidRPr="00BC1AFF" w:rsidRDefault="00F96105" w:rsidP="00536149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  <w:r w:rsidRPr="00BC1AFF">
        <w:rPr>
          <w:rFonts w:ascii="Corbel" w:hAnsi="Corbel" w:cs="Corbel"/>
          <w:b/>
          <w:bCs/>
        </w:rPr>
        <w:t xml:space="preserve">5. CAŁKOWITY NAKŁAD PRACY STUDENTA POTRZEBNY DO OSIĄGNIĘCIA ZAŁOŻONYCH EFEKTÓW W GODZINACH ORAZ PUNKTACH </w:t>
      </w:r>
      <w:proofErr w:type="spellStart"/>
      <w:r w:rsidRPr="00BC1AFF">
        <w:rPr>
          <w:rFonts w:ascii="Corbel" w:hAnsi="Corbel" w:cs="Corbel"/>
          <w:b/>
          <w:bCs/>
        </w:rPr>
        <w:t>ECTS</w:t>
      </w:r>
      <w:proofErr w:type="spellEnd"/>
      <w:r w:rsidRPr="00BC1AFF">
        <w:rPr>
          <w:rFonts w:ascii="Corbel" w:hAnsi="Corbel" w:cs="Corbel"/>
          <w:b/>
          <w:bCs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7"/>
        <w:gridCol w:w="4557"/>
      </w:tblGrid>
      <w:tr w:rsidR="00F96105" w:rsidRPr="00BC1AFF" w14:paraId="29298AF7" w14:textId="77777777">
        <w:tc>
          <w:tcPr>
            <w:tcW w:w="4962" w:type="dxa"/>
            <w:vAlign w:val="center"/>
          </w:tcPr>
          <w:p w14:paraId="2B225178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C81A1F">
              <w:rPr>
                <w:rFonts w:ascii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E9C31A6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C81A1F">
              <w:rPr>
                <w:rFonts w:ascii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F96105" w:rsidRPr="00BC1AFF" w14:paraId="5D44C1AA" w14:textId="77777777">
        <w:tc>
          <w:tcPr>
            <w:tcW w:w="4962" w:type="dxa"/>
          </w:tcPr>
          <w:p w14:paraId="39C50185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Godziny kontaktowe wynikające z planu  studiów</w:t>
            </w:r>
          </w:p>
        </w:tc>
        <w:tc>
          <w:tcPr>
            <w:tcW w:w="4677" w:type="dxa"/>
          </w:tcPr>
          <w:p w14:paraId="55D81259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30</w:t>
            </w:r>
          </w:p>
        </w:tc>
      </w:tr>
      <w:tr w:rsidR="00F96105" w:rsidRPr="00BC1AFF" w14:paraId="7EAC2184" w14:textId="77777777">
        <w:tc>
          <w:tcPr>
            <w:tcW w:w="4962" w:type="dxa"/>
          </w:tcPr>
          <w:p w14:paraId="31C66EBA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Inne z udziałem nauczyciela</w:t>
            </w:r>
          </w:p>
          <w:p w14:paraId="2492927D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(udział w konsultacjach)</w:t>
            </w:r>
          </w:p>
        </w:tc>
        <w:tc>
          <w:tcPr>
            <w:tcW w:w="4677" w:type="dxa"/>
          </w:tcPr>
          <w:p w14:paraId="260A92BD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2</w:t>
            </w:r>
          </w:p>
        </w:tc>
      </w:tr>
      <w:tr w:rsidR="00F96105" w:rsidRPr="00BC1AFF" w14:paraId="2A2C5312" w14:textId="77777777">
        <w:tc>
          <w:tcPr>
            <w:tcW w:w="4962" w:type="dxa"/>
          </w:tcPr>
          <w:p w14:paraId="2C8EC262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Godziny </w:t>
            </w:r>
            <w:proofErr w:type="spellStart"/>
            <w:r w:rsidRPr="00C81A1F">
              <w:rPr>
                <w:rFonts w:ascii="Corbel" w:hAnsi="Corbel" w:cs="Corbel"/>
              </w:rPr>
              <w:t>niekontaktowe</w:t>
            </w:r>
            <w:proofErr w:type="spellEnd"/>
            <w:r w:rsidRPr="00C81A1F">
              <w:rPr>
                <w:rFonts w:ascii="Corbel" w:hAnsi="Corbel" w:cs="Corbel"/>
              </w:rPr>
              <w:t xml:space="preserve"> – praca własna studenta (przygotowanie do zajęć)</w:t>
            </w:r>
          </w:p>
        </w:tc>
        <w:tc>
          <w:tcPr>
            <w:tcW w:w="4677" w:type="dxa"/>
          </w:tcPr>
          <w:p w14:paraId="7BC40622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18</w:t>
            </w:r>
          </w:p>
        </w:tc>
      </w:tr>
      <w:tr w:rsidR="00F96105" w:rsidRPr="00BC1AFF" w14:paraId="1288B205" w14:textId="77777777">
        <w:tc>
          <w:tcPr>
            <w:tcW w:w="4962" w:type="dxa"/>
          </w:tcPr>
          <w:p w14:paraId="017B91D0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SUMA GODZIN</w:t>
            </w:r>
          </w:p>
        </w:tc>
        <w:tc>
          <w:tcPr>
            <w:tcW w:w="4677" w:type="dxa"/>
          </w:tcPr>
          <w:p w14:paraId="7C959BD8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C81A1F">
              <w:rPr>
                <w:rFonts w:ascii="Corbel" w:hAnsi="Corbel" w:cs="Corbel"/>
                <w:b/>
                <w:bCs/>
              </w:rPr>
              <w:t>50</w:t>
            </w:r>
          </w:p>
        </w:tc>
      </w:tr>
      <w:tr w:rsidR="00F96105" w:rsidRPr="00BC1AFF" w14:paraId="333748C6" w14:textId="77777777">
        <w:tc>
          <w:tcPr>
            <w:tcW w:w="4962" w:type="dxa"/>
          </w:tcPr>
          <w:p w14:paraId="21223545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C81A1F">
              <w:rPr>
                <w:rFonts w:ascii="Corbel" w:hAnsi="Corbel" w:cs="Corbel"/>
                <w:b/>
                <w:bCs/>
              </w:rPr>
              <w:t xml:space="preserve">SUMARYCZNA LICZBA PUNKTÓW </w:t>
            </w:r>
            <w:proofErr w:type="spellStart"/>
            <w:r w:rsidRPr="00C81A1F">
              <w:rPr>
                <w:rFonts w:ascii="Corbel" w:hAnsi="Corbel" w:cs="Corbel"/>
                <w:b/>
                <w:bCs/>
              </w:rPr>
              <w:t>ECTS</w:t>
            </w:r>
            <w:proofErr w:type="spellEnd"/>
          </w:p>
        </w:tc>
        <w:tc>
          <w:tcPr>
            <w:tcW w:w="4677" w:type="dxa"/>
          </w:tcPr>
          <w:p w14:paraId="38626E89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C81A1F">
              <w:rPr>
                <w:rFonts w:ascii="Corbel" w:hAnsi="Corbel" w:cs="Corbel"/>
                <w:b/>
                <w:bCs/>
              </w:rPr>
              <w:t>2</w:t>
            </w:r>
          </w:p>
        </w:tc>
      </w:tr>
    </w:tbl>
    <w:p w14:paraId="6AEFA6F3" w14:textId="77777777" w:rsidR="00F96105" w:rsidRPr="00BC1AFF" w:rsidRDefault="00F96105" w:rsidP="00536149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</w:pPr>
      <w:r w:rsidRPr="00BC1AFF"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  <w:t xml:space="preserve">* Należy uwzględnić, że 1 pkt </w:t>
      </w:r>
      <w:proofErr w:type="spellStart"/>
      <w:r w:rsidRPr="00BC1AFF"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  <w:t>ECTS</w:t>
      </w:r>
      <w:proofErr w:type="spellEnd"/>
      <w:r w:rsidRPr="00BC1AFF"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  <w:t xml:space="preserve"> odpowiada 25-30 godzin całkowitego nakładu pracy studenta.</w:t>
      </w:r>
    </w:p>
    <w:p w14:paraId="06E49C03" w14:textId="77777777" w:rsidR="00F96105" w:rsidRPr="00BC1AFF" w:rsidRDefault="00F96105" w:rsidP="00536149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</w:pPr>
    </w:p>
    <w:p w14:paraId="0B41C994" w14:textId="77777777" w:rsidR="00F96105" w:rsidRPr="00BC1AFF" w:rsidRDefault="00F96105" w:rsidP="00536149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</w:pPr>
    </w:p>
    <w:p w14:paraId="75DEE5DD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82"/>
        <w:gridCol w:w="4906"/>
      </w:tblGrid>
      <w:tr w:rsidR="00F96105" w:rsidRPr="00BC1AFF" w14:paraId="640779AB" w14:textId="77777777">
        <w:trPr>
          <w:trHeight w:val="397"/>
        </w:trPr>
        <w:tc>
          <w:tcPr>
            <w:tcW w:w="2359" w:type="pct"/>
          </w:tcPr>
          <w:p w14:paraId="03254AD9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48B5082D" w14:textId="77777777" w:rsidR="00F96105" w:rsidRPr="00BC1AF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1AFF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-</w:t>
            </w:r>
          </w:p>
        </w:tc>
      </w:tr>
      <w:tr w:rsidR="00F96105" w:rsidRPr="00BC1AFF" w14:paraId="2D89F755" w14:textId="77777777">
        <w:trPr>
          <w:trHeight w:val="397"/>
        </w:trPr>
        <w:tc>
          <w:tcPr>
            <w:tcW w:w="2359" w:type="pct"/>
          </w:tcPr>
          <w:p w14:paraId="0DD3855E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6B01E60" w14:textId="77777777" w:rsidR="00F96105" w:rsidRPr="00BC1AF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1AFF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-</w:t>
            </w:r>
          </w:p>
        </w:tc>
      </w:tr>
    </w:tbl>
    <w:p w14:paraId="20E24309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23326ADE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F96105" w:rsidRPr="00BC1AFF" w14:paraId="57A982AF" w14:textId="77777777">
        <w:trPr>
          <w:trHeight w:val="397"/>
        </w:trPr>
        <w:tc>
          <w:tcPr>
            <w:tcW w:w="5000" w:type="pct"/>
          </w:tcPr>
          <w:p w14:paraId="603A7BC5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3EAB2C74" w14:textId="77777777" w:rsidR="00F96105" w:rsidRPr="00C81A1F" w:rsidRDefault="00F96105" w:rsidP="00536149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Koleśnik J. (red.), Bankowość detaliczna, </w:t>
            </w:r>
            <w:proofErr w:type="spellStart"/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Difin</w:t>
            </w:r>
            <w:proofErr w:type="spellEnd"/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, Warszawa 2016.</w:t>
            </w:r>
          </w:p>
          <w:p w14:paraId="47D52998" w14:textId="77777777" w:rsidR="00F96105" w:rsidRPr="00C81A1F" w:rsidRDefault="00F96105" w:rsidP="00536149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Capiga</w:t>
            </w:r>
            <w:proofErr w:type="spellEnd"/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 M., Finanse banków, Oficyna a Wolters Kluwer, Warszawa 2011.</w:t>
            </w:r>
          </w:p>
        </w:tc>
      </w:tr>
      <w:tr w:rsidR="00F96105" w:rsidRPr="00BC1AFF" w14:paraId="36F8521A" w14:textId="77777777">
        <w:trPr>
          <w:trHeight w:val="397"/>
        </w:trPr>
        <w:tc>
          <w:tcPr>
            <w:tcW w:w="5000" w:type="pct"/>
          </w:tcPr>
          <w:p w14:paraId="1D0764F1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Literatura uzupełniająca:</w:t>
            </w:r>
          </w:p>
          <w:p w14:paraId="3FB84492" w14:textId="77777777" w:rsidR="00F96105" w:rsidRPr="00C81A1F" w:rsidRDefault="00F96105" w:rsidP="00536149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Zaleska M. (red.), Bankowość bez tajemnic, </w:t>
            </w:r>
            <w:proofErr w:type="spellStart"/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Difin</w:t>
            </w:r>
            <w:proofErr w:type="spellEnd"/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, Warszawa 2016.</w:t>
            </w:r>
          </w:p>
          <w:p w14:paraId="1B2B78C5" w14:textId="77777777" w:rsidR="00F96105" w:rsidRPr="00C81A1F" w:rsidRDefault="00F96105" w:rsidP="00536149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Dobosiewicz</w:t>
            </w:r>
            <w:proofErr w:type="spellEnd"/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 Z., Bankowość, PWE, Warszawa 2011.</w:t>
            </w:r>
          </w:p>
          <w:p w14:paraId="6DC4EE56" w14:textId="77777777" w:rsidR="00F96105" w:rsidRPr="00C81A1F" w:rsidRDefault="00F96105" w:rsidP="00536149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Iwonicz-Drozdowska (i in.), Bankowość: instytucje, operacje, zarządzanie, </w:t>
            </w:r>
            <w:proofErr w:type="spellStart"/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Poltext</w:t>
            </w:r>
            <w:proofErr w:type="spellEnd"/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, Warszawa 2013.</w:t>
            </w:r>
          </w:p>
        </w:tc>
      </w:tr>
    </w:tbl>
    <w:p w14:paraId="6F7288D5" w14:textId="77777777" w:rsidR="00C81A1F" w:rsidRDefault="00C81A1F" w:rsidP="00BC1AF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17F847F8" w14:textId="77777777" w:rsidR="00F96105" w:rsidRPr="009C54AE" w:rsidRDefault="00F96105" w:rsidP="00BC1AFF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2AEDC0D9" w14:textId="77777777" w:rsidR="00F96105" w:rsidRPr="00BC1AFF" w:rsidRDefault="00F96105">
      <w:pPr>
        <w:rPr>
          <w:rFonts w:ascii="Corbel" w:hAnsi="Corbel" w:cs="Corbel"/>
          <w:sz w:val="22"/>
          <w:szCs w:val="22"/>
        </w:rPr>
      </w:pPr>
    </w:p>
    <w:sectPr w:rsidR="00F96105" w:rsidRPr="00BC1AFF" w:rsidSect="00DE61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17AA2"/>
    <w:multiLevelType w:val="hybridMultilevel"/>
    <w:tmpl w:val="B4909ECE"/>
    <w:lvl w:ilvl="0" w:tplc="90CED092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5B37C5"/>
    <w:multiLevelType w:val="hybridMultilevel"/>
    <w:tmpl w:val="9E9E8B4C"/>
    <w:lvl w:ilvl="0" w:tplc="2FFC644E">
      <w:start w:val="1"/>
      <w:numFmt w:val="decimal"/>
      <w:lvlText w:val="%1."/>
      <w:lvlJc w:val="left"/>
      <w:pPr>
        <w:ind w:left="720" w:hanging="360"/>
      </w:pPr>
      <w:rPr>
        <w:rFonts w:ascii="Corbel" w:hAnsi="Corbel" w:cs="Corbe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3A3DD1"/>
    <w:multiLevelType w:val="hybridMultilevel"/>
    <w:tmpl w:val="7B9A4298"/>
    <w:lvl w:ilvl="0" w:tplc="6E4A91B6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23362D"/>
    <w:multiLevelType w:val="hybridMultilevel"/>
    <w:tmpl w:val="27BA5AC6"/>
    <w:lvl w:ilvl="0" w:tplc="BF3AA770">
      <w:start w:val="1"/>
      <w:numFmt w:val="decimal"/>
      <w:lvlText w:val="%1."/>
      <w:lvlJc w:val="left"/>
      <w:pPr>
        <w:ind w:left="720" w:hanging="360"/>
      </w:pPr>
      <w:rPr>
        <w:rFonts w:ascii="Corbel" w:hAnsi="Corbel" w:cs="Corbel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15272"/>
    <w:multiLevelType w:val="hybridMultilevel"/>
    <w:tmpl w:val="284EBCBA"/>
    <w:lvl w:ilvl="0" w:tplc="4CA832B6">
      <w:start w:val="1"/>
      <w:numFmt w:val="decimal"/>
      <w:lvlText w:val="%1."/>
      <w:lvlJc w:val="left"/>
      <w:pPr>
        <w:ind w:left="720" w:hanging="360"/>
      </w:pPr>
      <w:rPr>
        <w:rFonts w:ascii="Corbel" w:hAnsi="Corbel" w:cs="Corbel" w:hint="default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9311315"/>
    <w:multiLevelType w:val="hybridMultilevel"/>
    <w:tmpl w:val="5C360532"/>
    <w:lvl w:ilvl="0" w:tplc="45BA6B9E">
      <w:start w:val="1"/>
      <w:numFmt w:val="decimal"/>
      <w:lvlText w:val="%1."/>
      <w:lvlJc w:val="left"/>
      <w:pPr>
        <w:ind w:left="720" w:hanging="360"/>
      </w:pPr>
      <w:rPr>
        <w:rFonts w:ascii="Corbel" w:hAnsi="Corbel" w:cs="Corbe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4CF6"/>
    <w:rsid w:val="000C7D6F"/>
    <w:rsid w:val="000D3AB4"/>
    <w:rsid w:val="000E68A5"/>
    <w:rsid w:val="001D07B4"/>
    <w:rsid w:val="002068F8"/>
    <w:rsid w:val="002E38BC"/>
    <w:rsid w:val="00431887"/>
    <w:rsid w:val="00484318"/>
    <w:rsid w:val="00536149"/>
    <w:rsid w:val="00561B34"/>
    <w:rsid w:val="00594CF6"/>
    <w:rsid w:val="00673D28"/>
    <w:rsid w:val="0083242D"/>
    <w:rsid w:val="008F1E3B"/>
    <w:rsid w:val="009C54AE"/>
    <w:rsid w:val="009F349E"/>
    <w:rsid w:val="009F5B40"/>
    <w:rsid w:val="00B16566"/>
    <w:rsid w:val="00BC1AFF"/>
    <w:rsid w:val="00C81A1F"/>
    <w:rsid w:val="00CA6B58"/>
    <w:rsid w:val="00CE1E79"/>
    <w:rsid w:val="00DE617B"/>
    <w:rsid w:val="00EA4832"/>
    <w:rsid w:val="00F9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EDB615"/>
  <w15:docId w15:val="{CE986BBB-50C1-47D5-93DD-7F17BC08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94CF6"/>
    <w:pPr>
      <w:spacing w:after="200" w:line="276" w:lineRule="auto"/>
    </w:pPr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94CF6"/>
    <w:pPr>
      <w:ind w:left="720"/>
    </w:pPr>
  </w:style>
  <w:style w:type="paragraph" w:customStyle="1" w:styleId="Default">
    <w:name w:val="Default"/>
    <w:uiPriority w:val="99"/>
    <w:rsid w:val="00594C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594CF6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594CF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594CF6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594CF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bCs/>
    </w:rPr>
  </w:style>
  <w:style w:type="paragraph" w:customStyle="1" w:styleId="Cele">
    <w:name w:val="Cele"/>
    <w:basedOn w:val="Tekstpodstawowy"/>
    <w:uiPriority w:val="99"/>
    <w:rsid w:val="00594CF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594CF6"/>
  </w:style>
  <w:style w:type="paragraph" w:customStyle="1" w:styleId="centralniewrubryce">
    <w:name w:val="centralnie w rubryce"/>
    <w:basedOn w:val="Normalny"/>
    <w:uiPriority w:val="99"/>
    <w:rsid w:val="00594CF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99"/>
    <w:qFormat/>
    <w:rsid w:val="00594CF6"/>
    <w:rPr>
      <w:rFonts w:cs="Calibri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594CF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594CF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1054</Words>
  <Characters>6329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</vt:lpstr>
    </vt:vector>
  </TitlesOfParts>
  <Company>Właściciel</Company>
  <LinksUpToDate>false</LinksUpToDate>
  <CharactersWithSpaces>7369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creator>Ekon</dc:creator>
  <cp:lastModifiedBy>Lencka Elżbieta</cp:lastModifiedBy>
  <cp:revision>9</cp:revision>
  <dcterms:created xsi:type="dcterms:W3CDTF">2021-01-31T21:42:00Z</dcterms:created>
  <dcterms:modified xsi:type="dcterms:W3CDTF">2022-02-09T09:01:00Z</dcterms:modified>
</cp:coreProperties>
</file>